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خطاب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توصية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بالعربية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المرسل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وصفته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:-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العنوان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:-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التاريخ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:-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عنوان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البريد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:-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رقم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الهاتف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:-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الموضوع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(....)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نراسلكم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المتلقي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(...)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وأكتب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لأوصي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بإخلاص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الموصى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وجدارته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التوصية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والاطلاع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قدراتها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وأداءه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أدائها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ستجد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الموصى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الملتزمة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رأي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إنما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المشروعات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والموصى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والحقيقة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وساعدنا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الموصي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مهاراته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الفريدة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وقدراته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الاستثنائية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البارزة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الموصى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النجاح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والتقدم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الملموس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يحرص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بأخلاقية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الموصى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سيكون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ستكون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قيمة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وسيظهر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وملحوظ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والأداء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الممتاز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أنصح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بإختياره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والاستفادة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وإفادته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المتبادلة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أتمنى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تأخذوا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توصيتي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لديكم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المذكورين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لوقتكم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واهتمامكم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خالص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التحية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المرسل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ومنصبه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:-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bidi w:val="1"/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890588" cy="890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